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E52E3" w14:textId="26FDBDBA" w:rsidR="00D75609" w:rsidRPr="00F4276F" w:rsidRDefault="00D75609" w:rsidP="00B23D9A">
      <w:pPr>
        <w:spacing w:before="60" w:after="0" w:line="240" w:lineRule="auto"/>
        <w:ind w:left="-630" w:firstLine="180"/>
        <w:jc w:val="right"/>
        <w:rPr>
          <w:rFonts w:cstheme="minorHAnsi"/>
          <w:b/>
          <w:bCs/>
          <w:color w:val="002060"/>
          <w:sz w:val="24"/>
          <w:szCs w:val="24"/>
        </w:rPr>
      </w:pPr>
      <w:r w:rsidRPr="00F4276F">
        <w:rPr>
          <w:rFonts w:cstheme="minorHAnsi"/>
          <w:b/>
          <w:color w:val="002060"/>
          <w:sz w:val="24"/>
          <w:szCs w:val="24"/>
        </w:rPr>
        <w:t xml:space="preserve">Anexa </w:t>
      </w:r>
      <w:r w:rsidR="00E83395" w:rsidRPr="00F4276F">
        <w:rPr>
          <w:rFonts w:cstheme="minorHAnsi"/>
          <w:b/>
          <w:color w:val="002060"/>
          <w:sz w:val="24"/>
          <w:szCs w:val="24"/>
        </w:rPr>
        <w:t>2</w:t>
      </w:r>
      <w:r w:rsidR="009741DC" w:rsidRPr="00F4276F">
        <w:rPr>
          <w:rFonts w:cstheme="minorHAnsi"/>
          <w:b/>
          <w:color w:val="002060"/>
          <w:sz w:val="24"/>
          <w:szCs w:val="24"/>
        </w:rPr>
        <w:t xml:space="preserve">: </w:t>
      </w:r>
      <w:r w:rsidR="003D1989" w:rsidRPr="00F4276F">
        <w:rPr>
          <w:rFonts w:cstheme="minorHAnsi"/>
          <w:b/>
          <w:bCs/>
          <w:color w:val="002060"/>
          <w:sz w:val="24"/>
          <w:szCs w:val="24"/>
        </w:rPr>
        <w:t>Definiții și mod de calcul indicatori</w:t>
      </w:r>
    </w:p>
    <w:p w14:paraId="5E89F220" w14:textId="001035DE" w:rsidR="00D75609" w:rsidRPr="00F4276F" w:rsidRDefault="00D75609" w:rsidP="00F4276F">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r w:rsidRPr="00F4276F">
        <w:rPr>
          <w:rFonts w:cstheme="minorHAnsi"/>
          <w:b/>
          <w:color w:val="002060"/>
          <w:sz w:val="24"/>
          <w:szCs w:val="24"/>
          <w:lang w:val="ro-RO"/>
        </w:rPr>
        <w:t>Definiți</w:t>
      </w:r>
      <w:r w:rsidR="00545FF1" w:rsidRPr="00F4276F">
        <w:rPr>
          <w:rFonts w:cstheme="minorHAnsi"/>
          <w:b/>
          <w:color w:val="002060"/>
          <w:sz w:val="24"/>
          <w:szCs w:val="24"/>
          <w:lang w:val="ro-RO"/>
        </w:rPr>
        <w:t>a</w:t>
      </w:r>
      <w:r w:rsidR="00A40BE2" w:rsidRPr="00F4276F">
        <w:rPr>
          <w:rFonts w:cstheme="minorHAnsi"/>
          <w:b/>
          <w:color w:val="002060"/>
          <w:sz w:val="24"/>
          <w:szCs w:val="24"/>
          <w:lang w:val="ro-RO"/>
        </w:rPr>
        <w:t xml:space="preserve"> indicatori</w:t>
      </w:r>
      <w:r w:rsidR="00545FF1" w:rsidRPr="00F4276F">
        <w:rPr>
          <w:rFonts w:cstheme="minorHAnsi"/>
          <w:b/>
          <w:color w:val="002060"/>
          <w:sz w:val="24"/>
          <w:szCs w:val="24"/>
          <w:lang w:val="ro-RO"/>
        </w:rPr>
        <w:t>lor</w:t>
      </w:r>
      <w:r w:rsidR="00A40BE2" w:rsidRPr="00F4276F">
        <w:rPr>
          <w:rFonts w:cstheme="minorHAnsi"/>
          <w:b/>
          <w:color w:val="002060"/>
          <w:sz w:val="24"/>
          <w:szCs w:val="24"/>
          <w:lang w:val="ro-RO"/>
        </w:rPr>
        <w:t xml:space="preserve"> de realizare</w:t>
      </w:r>
    </w:p>
    <w:tbl>
      <w:tblPr>
        <w:tblStyle w:val="TableGrid"/>
        <w:tblW w:w="14690" w:type="dxa"/>
        <w:tblInd w:w="-455" w:type="dxa"/>
        <w:tblLook w:val="04A0" w:firstRow="1" w:lastRow="0" w:firstColumn="1" w:lastColumn="0" w:noHBand="0" w:noVBand="1"/>
      </w:tblPr>
      <w:tblGrid>
        <w:gridCol w:w="1228"/>
        <w:gridCol w:w="2425"/>
        <w:gridCol w:w="1362"/>
        <w:gridCol w:w="1362"/>
        <w:gridCol w:w="8313"/>
      </w:tblGrid>
      <w:tr w:rsidR="000E3A54" w:rsidRPr="00F4276F" w14:paraId="53C3A067" w14:textId="77777777" w:rsidTr="000E3A54">
        <w:trPr>
          <w:tblHeader/>
        </w:trPr>
        <w:tc>
          <w:tcPr>
            <w:tcW w:w="1228" w:type="dxa"/>
            <w:shd w:val="clear" w:color="auto" w:fill="C5E0B3" w:themeFill="accent6" w:themeFillTint="66"/>
          </w:tcPr>
          <w:p w14:paraId="6D1AB108"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Cod indicator</w:t>
            </w:r>
          </w:p>
        </w:tc>
        <w:tc>
          <w:tcPr>
            <w:tcW w:w="2425" w:type="dxa"/>
            <w:shd w:val="clear" w:color="auto" w:fill="C5E0B3" w:themeFill="accent6" w:themeFillTint="66"/>
          </w:tcPr>
          <w:p w14:paraId="34065FF7"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Denumire indicator</w:t>
            </w:r>
          </w:p>
        </w:tc>
        <w:tc>
          <w:tcPr>
            <w:tcW w:w="1362" w:type="dxa"/>
            <w:shd w:val="clear" w:color="auto" w:fill="C5E0B3" w:themeFill="accent6" w:themeFillTint="66"/>
          </w:tcPr>
          <w:p w14:paraId="2CFABC77" w14:textId="4625716D"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Unitate de măsura</w:t>
            </w:r>
          </w:p>
        </w:tc>
        <w:tc>
          <w:tcPr>
            <w:tcW w:w="1362" w:type="dxa"/>
            <w:shd w:val="clear" w:color="auto" w:fill="C5E0B3" w:themeFill="accent6" w:themeFillTint="66"/>
          </w:tcPr>
          <w:p w14:paraId="739C5B79" w14:textId="43A85CBE"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Tip regiune</w:t>
            </w:r>
          </w:p>
        </w:tc>
        <w:tc>
          <w:tcPr>
            <w:tcW w:w="8313" w:type="dxa"/>
            <w:shd w:val="clear" w:color="auto" w:fill="C5E0B3" w:themeFill="accent6" w:themeFillTint="66"/>
          </w:tcPr>
          <w:p w14:paraId="2B220918"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Definiții și modalitate de calcul</w:t>
            </w:r>
          </w:p>
        </w:tc>
      </w:tr>
      <w:tr w:rsidR="00C23375" w:rsidRPr="00F4276F" w14:paraId="398D8C1C" w14:textId="77777777" w:rsidTr="000E3A54">
        <w:tc>
          <w:tcPr>
            <w:tcW w:w="1228" w:type="dxa"/>
            <w:tcBorders>
              <w:top w:val="single" w:sz="4" w:space="0" w:color="000000"/>
              <w:left w:val="single" w:sz="4" w:space="0" w:color="000000"/>
              <w:bottom w:val="single" w:sz="4" w:space="0" w:color="000000"/>
              <w:right w:val="single" w:sz="4" w:space="0" w:color="000000"/>
            </w:tcBorders>
          </w:tcPr>
          <w:p w14:paraId="7F86448B" w14:textId="1BEE0C15" w:rsidR="00C23375" w:rsidRPr="00F4276F" w:rsidRDefault="00C23375"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01PSO4</w:t>
            </w:r>
          </w:p>
        </w:tc>
        <w:tc>
          <w:tcPr>
            <w:tcW w:w="2425" w:type="dxa"/>
            <w:tcBorders>
              <w:top w:val="single" w:sz="4" w:space="0" w:color="000000"/>
              <w:left w:val="single" w:sz="4" w:space="0" w:color="000000"/>
              <w:bottom w:val="single" w:sz="4" w:space="0" w:color="000000"/>
              <w:right w:val="single" w:sz="4" w:space="0" w:color="000000"/>
            </w:tcBorders>
          </w:tcPr>
          <w:p w14:paraId="16523EDA" w14:textId="77777777" w:rsidR="00C23375" w:rsidRPr="00F4276F" w:rsidRDefault="00C23375" w:rsidP="00F4276F">
            <w:pPr>
              <w:spacing w:before="60"/>
              <w:rPr>
                <w:rFonts w:cstheme="minorHAnsi"/>
                <w:color w:val="002060"/>
                <w:sz w:val="24"/>
                <w:szCs w:val="24"/>
                <w:lang w:val="ro-RO"/>
              </w:rPr>
            </w:pPr>
            <w:r w:rsidRPr="00F4276F">
              <w:rPr>
                <w:rFonts w:cstheme="minorHAnsi"/>
                <w:b/>
                <w:bCs/>
                <w:color w:val="002060"/>
                <w:sz w:val="24"/>
                <w:szCs w:val="24"/>
                <w:lang w:val="ro-RO"/>
              </w:rPr>
              <w:t>Unități sanitare publice sprijinite,</w:t>
            </w:r>
            <w:r w:rsidRPr="00F4276F">
              <w:rPr>
                <w:rFonts w:cstheme="minorHAnsi"/>
                <w:color w:val="002060"/>
                <w:sz w:val="24"/>
                <w:szCs w:val="24"/>
                <w:lang w:val="ro-RO"/>
              </w:rPr>
              <w:t xml:space="preserve"> din care: </w:t>
            </w:r>
          </w:p>
          <w:p w14:paraId="5D008ACC" w14:textId="6C41E4AB" w:rsidR="00C23375" w:rsidRPr="00F4276F" w:rsidRDefault="00C23375" w:rsidP="00F4276F">
            <w:pPr>
              <w:pStyle w:val="ListParagraph"/>
              <w:numPr>
                <w:ilvl w:val="0"/>
                <w:numId w:val="9"/>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unități sanitare publice/ structuri publice care desfășoară activități medicale de tip ambulatoriu/ acordă asistență medicală ambulatorie</w:t>
            </w:r>
          </w:p>
        </w:tc>
        <w:tc>
          <w:tcPr>
            <w:tcW w:w="1362" w:type="dxa"/>
          </w:tcPr>
          <w:p w14:paraId="34B354E5" w14:textId="257D4FD8" w:rsidR="00C23375" w:rsidRPr="00F4276F" w:rsidRDefault="00C23375"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Unități sanitare</w:t>
            </w:r>
          </w:p>
        </w:tc>
        <w:tc>
          <w:tcPr>
            <w:tcW w:w="1362" w:type="dxa"/>
          </w:tcPr>
          <w:p w14:paraId="758FC4F9" w14:textId="77777777" w:rsidR="00C23375" w:rsidRPr="00F4276F" w:rsidRDefault="00C23375" w:rsidP="00F4276F">
            <w:pPr>
              <w:spacing w:before="60"/>
              <w:jc w:val="both"/>
              <w:rPr>
                <w:rFonts w:cstheme="minorHAnsi"/>
                <w:color w:val="002060"/>
                <w:sz w:val="24"/>
                <w:szCs w:val="24"/>
                <w:lang w:val="ro-RO"/>
              </w:rPr>
            </w:pPr>
            <w:r w:rsidRPr="00F4276F">
              <w:rPr>
                <w:rFonts w:cstheme="minorHAnsi"/>
                <w:color w:val="002060"/>
                <w:sz w:val="24"/>
                <w:szCs w:val="24"/>
                <w:lang w:val="ro-RO"/>
              </w:rPr>
              <w:t xml:space="preserve">Regiuni mai puțin dezvoltate </w:t>
            </w:r>
          </w:p>
          <w:p w14:paraId="78D98926" w14:textId="7212414F" w:rsidR="00C23375" w:rsidRPr="00F4276F" w:rsidRDefault="00C23375"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Regiune mai dezvoltată</w:t>
            </w:r>
          </w:p>
        </w:tc>
        <w:tc>
          <w:tcPr>
            <w:tcW w:w="8313" w:type="dxa"/>
          </w:tcPr>
          <w:p w14:paraId="1E32DB9D" w14:textId="77777777" w:rsidR="00C23375" w:rsidRPr="00F4276F" w:rsidRDefault="00C23375"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Definiție</w:t>
            </w:r>
          </w:p>
          <w:p w14:paraId="7D80514F" w14:textId="7897BAB0" w:rsidR="00C23375" w:rsidRPr="00F4276F" w:rsidRDefault="00C23375" w:rsidP="00F4276F">
            <w:pPr>
              <w:spacing w:before="60"/>
              <w:ind w:right="120"/>
              <w:jc w:val="both"/>
              <w:rPr>
                <w:rFonts w:cstheme="minorHAnsi"/>
                <w:b/>
                <w:bCs/>
                <w:color w:val="002060"/>
                <w:sz w:val="24"/>
                <w:szCs w:val="24"/>
                <w:lang w:val="ro-RO"/>
              </w:rPr>
            </w:pPr>
            <w:r w:rsidRPr="00F4276F">
              <w:rPr>
                <w:rFonts w:cstheme="minorHAnsi"/>
                <w:b/>
                <w:bCs/>
                <w:color w:val="002060"/>
                <w:sz w:val="24"/>
                <w:szCs w:val="24"/>
                <w:lang w:val="ro-RO"/>
              </w:rPr>
              <w:t>Numărul de unități sanitare publice care, în contextul prezentului apelul, beneficiază de investiții pentru a desfășura/ acorda asistență medicală ambulatorie</w:t>
            </w:r>
            <w:r w:rsidR="00C56416">
              <w:rPr>
                <w:rFonts w:cstheme="minorHAnsi"/>
                <w:b/>
                <w:bCs/>
                <w:color w:val="002060"/>
                <w:sz w:val="24"/>
                <w:szCs w:val="24"/>
                <w:lang w:val="ro-RO"/>
              </w:rPr>
              <w:t xml:space="preserve"> în cadrul cabinetului de asistență stomatologică</w:t>
            </w:r>
          </w:p>
          <w:p w14:paraId="6CDFBB75" w14:textId="77777777" w:rsidR="00C23375" w:rsidRPr="00F4276F" w:rsidRDefault="00C23375" w:rsidP="00F4276F">
            <w:pPr>
              <w:spacing w:before="60"/>
              <w:ind w:right="120"/>
              <w:jc w:val="both"/>
              <w:rPr>
                <w:rFonts w:cstheme="minorHAnsi"/>
                <w:b/>
                <w:color w:val="002060"/>
                <w:sz w:val="24"/>
                <w:szCs w:val="24"/>
                <w:lang w:val="ro-RO"/>
              </w:rPr>
            </w:pPr>
          </w:p>
          <w:p w14:paraId="0B6F6A3A" w14:textId="2A67D83F" w:rsidR="00C23375" w:rsidRPr="00F4276F" w:rsidRDefault="00C23375"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Modalitate de calcul</w:t>
            </w:r>
          </w:p>
          <w:p w14:paraId="7C6B2446" w14:textId="1BE5009A" w:rsidR="00C23375" w:rsidRPr="00F4276F" w:rsidRDefault="00C23375" w:rsidP="00F4276F">
            <w:pPr>
              <w:pStyle w:val="ListParagraph"/>
              <w:numPr>
                <w:ilvl w:val="0"/>
                <w:numId w:val="8"/>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 xml:space="preserve">La nivel de proiect, ținta indicatorului 01PSO4 </w:t>
            </w:r>
            <w:r w:rsidRPr="00F4276F">
              <w:rPr>
                <w:rFonts w:cstheme="minorHAnsi"/>
                <w:i/>
                <w:iCs/>
                <w:color w:val="002060"/>
                <w:sz w:val="24"/>
                <w:szCs w:val="24"/>
                <w:lang w:val="ro-RO"/>
              </w:rPr>
              <w:t>Unități sanitare publice sprijinite</w:t>
            </w:r>
            <w:r w:rsidRPr="00F4276F">
              <w:rPr>
                <w:rFonts w:cstheme="minorHAnsi"/>
                <w:color w:val="002060"/>
                <w:sz w:val="24"/>
                <w:szCs w:val="24"/>
                <w:lang w:val="ro-RO"/>
              </w:rPr>
              <w:t xml:space="preserve"> va fi 1.</w:t>
            </w:r>
            <w:bookmarkStart w:id="0" w:name="_Hlk139990368"/>
          </w:p>
          <w:p w14:paraId="067188E4" w14:textId="77777777" w:rsidR="00C23375" w:rsidRPr="00F4276F" w:rsidRDefault="00C23375" w:rsidP="00F4276F">
            <w:pPr>
              <w:spacing w:before="60"/>
              <w:ind w:right="120"/>
              <w:jc w:val="both"/>
              <w:rPr>
                <w:rFonts w:cstheme="minorHAnsi"/>
                <w:color w:val="002060"/>
                <w:sz w:val="24"/>
                <w:szCs w:val="24"/>
                <w:lang w:val="ro-RO"/>
              </w:rPr>
            </w:pPr>
            <w:bookmarkStart w:id="1" w:name="_Hlk139275941"/>
            <w:bookmarkEnd w:id="0"/>
            <w:r w:rsidRPr="00F4276F">
              <w:rPr>
                <w:rFonts w:cstheme="minorHAnsi"/>
                <w:color w:val="002060"/>
                <w:sz w:val="24"/>
                <w:szCs w:val="24"/>
                <w:lang w:val="ro-RO"/>
              </w:rPr>
              <w:t xml:space="preserve">NB </w:t>
            </w:r>
          </w:p>
          <w:p w14:paraId="15843EE0" w14:textId="59679779" w:rsidR="00C23375" w:rsidRPr="00F4276F" w:rsidRDefault="00C23375" w:rsidP="00F4276F">
            <w:pPr>
              <w:spacing w:before="60"/>
              <w:ind w:right="120"/>
              <w:jc w:val="both"/>
              <w:rPr>
                <w:rFonts w:eastAsia="Times New Roman" w:cstheme="minorHAnsi"/>
                <w:color w:val="002060"/>
                <w:sz w:val="24"/>
                <w:szCs w:val="24"/>
                <w:lang w:val="ro-RO" w:eastAsia="ro-RO"/>
              </w:rPr>
            </w:pPr>
            <w:r w:rsidRPr="00F4276F">
              <w:rPr>
                <w:rFonts w:cstheme="minorHAnsi"/>
                <w:color w:val="002060"/>
                <w:sz w:val="24"/>
                <w:szCs w:val="24"/>
                <w:lang w:val="ro-RO"/>
              </w:rPr>
              <w:t>În contextul prezentului apel</w:t>
            </w:r>
            <w:r w:rsidRPr="00F4276F">
              <w:rPr>
                <w:rFonts w:cstheme="minorHAnsi"/>
                <w:b/>
                <w:bCs/>
                <w:color w:val="002060"/>
                <w:sz w:val="24"/>
                <w:szCs w:val="24"/>
                <w:lang w:val="ro-RO"/>
              </w:rPr>
              <w:t xml:space="preserve"> nu</w:t>
            </w:r>
            <w:r w:rsidRPr="00F4276F">
              <w:rPr>
                <w:rFonts w:cstheme="minorHAnsi"/>
                <w:color w:val="002060"/>
                <w:sz w:val="24"/>
                <w:szCs w:val="24"/>
                <w:lang w:val="ro-RO"/>
              </w:rPr>
              <w:t xml:space="preserve"> sunt eligibile proiectele (cererile de finanțare) care vizează în cadrul aceluiași proiect mai multe unități sanitare sau cele</w:t>
            </w:r>
            <w:r w:rsidRPr="00F4276F">
              <w:rPr>
                <w:rFonts w:eastAsia="Times New Roman" w:cstheme="minorHAnsi"/>
                <w:color w:val="002060"/>
                <w:sz w:val="24"/>
                <w:szCs w:val="24"/>
                <w:lang w:val="ro-RO" w:eastAsia="ro-RO"/>
              </w:rPr>
              <w:t xml:space="preserve"> prin care se vor depune mai multe cereri de finanțare pentru aceiași unitate sanitară. </w:t>
            </w:r>
          </w:p>
          <w:bookmarkEnd w:id="1"/>
          <w:p w14:paraId="250A5833" w14:textId="77777777" w:rsidR="00C23375" w:rsidRPr="00F4276F" w:rsidRDefault="00C23375"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Raportare</w:t>
            </w:r>
          </w:p>
          <w:p w14:paraId="021AF36C" w14:textId="48A52C01" w:rsidR="00C23375" w:rsidRPr="00F4276F" w:rsidRDefault="00C23375" w:rsidP="00F4276F">
            <w:pPr>
              <w:pStyle w:val="ListParagraph"/>
              <w:numPr>
                <w:ilvl w:val="0"/>
                <w:numId w:val="8"/>
              </w:numPr>
              <w:spacing w:before="60"/>
              <w:ind w:right="120"/>
              <w:contextualSpacing w:val="0"/>
              <w:jc w:val="both"/>
              <w:rPr>
                <w:rFonts w:cstheme="minorHAnsi"/>
                <w:b/>
                <w:bCs/>
                <w:color w:val="002060"/>
                <w:sz w:val="24"/>
                <w:szCs w:val="24"/>
                <w:u w:val="single"/>
                <w:lang w:val="ro-RO"/>
              </w:rPr>
            </w:pPr>
            <w:r w:rsidRPr="00F4276F">
              <w:rPr>
                <w:rFonts w:cstheme="minorHAnsi"/>
                <w:color w:val="002060"/>
                <w:sz w:val="24"/>
                <w:szCs w:val="24"/>
                <w:lang w:val="ro-RO"/>
              </w:rPr>
              <w:t xml:space="preserve">Indicatorul se raportează la </w:t>
            </w:r>
            <w:r w:rsidRPr="00F4276F">
              <w:rPr>
                <w:rFonts w:cstheme="minorHAnsi"/>
                <w:b/>
                <w:bCs/>
                <w:color w:val="002060"/>
                <w:sz w:val="24"/>
                <w:szCs w:val="24"/>
                <w:u w:val="single"/>
                <w:lang w:val="ro-RO"/>
              </w:rPr>
              <w:t xml:space="preserve">momentul operaționalizării investiției (PV de recepție care </w:t>
            </w:r>
            <w:r w:rsidRPr="00F4276F">
              <w:rPr>
                <w:rFonts w:cstheme="minorHAnsi"/>
                <w:b/>
                <w:bCs/>
                <w:color w:val="002060"/>
                <w:sz w:val="24"/>
                <w:szCs w:val="24"/>
                <w:lang w:val="ro-RO"/>
              </w:rPr>
              <w:t>atestă faptul că unitatea sanitară poate primi pacienți, alte documente, etc.</w:t>
            </w:r>
            <w:r w:rsidRPr="00F4276F">
              <w:rPr>
                <w:rFonts w:cstheme="minorHAnsi"/>
                <w:b/>
                <w:bCs/>
                <w:color w:val="002060"/>
                <w:sz w:val="24"/>
                <w:szCs w:val="24"/>
                <w:u w:val="single"/>
                <w:lang w:val="ro-RO"/>
              </w:rPr>
              <w:t>)</w:t>
            </w:r>
          </w:p>
          <w:p w14:paraId="6C23EED0" w14:textId="2D041C54" w:rsidR="00C23375" w:rsidRPr="00F4276F" w:rsidRDefault="00C23375" w:rsidP="00F4276F">
            <w:pPr>
              <w:pStyle w:val="ListParagraph"/>
              <w:numPr>
                <w:ilvl w:val="0"/>
                <w:numId w:val="8"/>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 xml:space="preserve">Stabilirea și raportarea indicatorului pe tip de regiune de dezvoltare se face funcție de localizarea </w:t>
            </w:r>
            <w:r w:rsidR="00C56416">
              <w:rPr>
                <w:rFonts w:cstheme="minorHAnsi"/>
                <w:color w:val="002060"/>
                <w:sz w:val="24"/>
                <w:szCs w:val="24"/>
                <w:lang w:val="ro-RO"/>
              </w:rPr>
              <w:t xml:space="preserve">cabinetului de asistență stomatologică din cadrul </w:t>
            </w:r>
            <w:r w:rsidRPr="00F4276F">
              <w:rPr>
                <w:rFonts w:cstheme="minorHAnsi"/>
                <w:color w:val="002060"/>
                <w:sz w:val="24"/>
                <w:szCs w:val="24"/>
                <w:lang w:val="ro-RO"/>
              </w:rPr>
              <w:t>ambulatoriului</w:t>
            </w:r>
            <w:r w:rsidR="00C56416">
              <w:rPr>
                <w:rFonts w:cstheme="minorHAnsi"/>
                <w:color w:val="002060"/>
                <w:sz w:val="24"/>
                <w:szCs w:val="24"/>
                <w:lang w:val="ro-RO"/>
              </w:rPr>
              <w:t xml:space="preserve"> unității sanitare beneficiare</w:t>
            </w:r>
            <w:r w:rsidRPr="00F4276F">
              <w:rPr>
                <w:rFonts w:cstheme="minorHAnsi"/>
                <w:color w:val="002060"/>
                <w:sz w:val="24"/>
                <w:szCs w:val="24"/>
                <w:lang w:val="ro-RO"/>
              </w:rPr>
              <w:t>, respectiv fie regiunea mai dezvoltată București Ilfov, fie regiune mai puțin dezvoltată (și nu funcție de localizarea solicitantului/ partenerului)</w:t>
            </w:r>
          </w:p>
        </w:tc>
      </w:tr>
    </w:tbl>
    <w:p w14:paraId="4F413E6D" w14:textId="77777777" w:rsidR="005E7824" w:rsidRPr="00F4276F" w:rsidRDefault="005E7824" w:rsidP="00F4276F">
      <w:pPr>
        <w:spacing w:before="60" w:after="0" w:line="240" w:lineRule="auto"/>
        <w:ind w:right="120"/>
        <w:jc w:val="both"/>
        <w:rPr>
          <w:rFonts w:cstheme="minorHAnsi"/>
          <w:color w:val="002060"/>
          <w:sz w:val="24"/>
          <w:szCs w:val="24"/>
        </w:rPr>
      </w:pPr>
    </w:p>
    <w:p w14:paraId="69B5D1E1" w14:textId="77777777" w:rsidR="002D51C8" w:rsidRPr="00F4276F" w:rsidRDefault="002D51C8" w:rsidP="00F4276F">
      <w:pPr>
        <w:spacing w:before="60" w:after="0" w:line="240" w:lineRule="auto"/>
        <w:ind w:right="120"/>
        <w:jc w:val="both"/>
        <w:rPr>
          <w:rFonts w:cstheme="minorHAnsi"/>
          <w:color w:val="002060"/>
          <w:sz w:val="24"/>
          <w:szCs w:val="24"/>
        </w:rPr>
      </w:pPr>
    </w:p>
    <w:p w14:paraId="22583BE3" w14:textId="77777777" w:rsidR="00F4276F" w:rsidRDefault="00F4276F">
      <w:pPr>
        <w:rPr>
          <w:rFonts w:cstheme="minorHAnsi"/>
          <w:b/>
          <w:color w:val="002060"/>
          <w:sz w:val="24"/>
          <w:szCs w:val="24"/>
        </w:rPr>
      </w:pPr>
      <w:bookmarkStart w:id="2" w:name="_Toc126864174"/>
      <w:r>
        <w:rPr>
          <w:rFonts w:cstheme="minorHAnsi"/>
          <w:b/>
          <w:color w:val="002060"/>
          <w:sz w:val="24"/>
          <w:szCs w:val="24"/>
        </w:rPr>
        <w:br w:type="page"/>
      </w:r>
    </w:p>
    <w:p w14:paraId="14A9887A" w14:textId="54D8F5BD" w:rsidR="00A40BE2" w:rsidRPr="00F4276F" w:rsidRDefault="002D51C8" w:rsidP="00F4276F">
      <w:pPr>
        <w:spacing w:before="60" w:after="0" w:line="240" w:lineRule="auto"/>
        <w:jc w:val="both"/>
        <w:rPr>
          <w:rFonts w:cstheme="minorHAnsi"/>
          <w:b/>
          <w:color w:val="002060"/>
          <w:sz w:val="24"/>
          <w:szCs w:val="24"/>
        </w:rPr>
      </w:pPr>
      <w:r w:rsidRPr="00F4276F">
        <w:rPr>
          <w:rFonts w:cstheme="minorHAnsi"/>
          <w:b/>
          <w:color w:val="002060"/>
          <w:sz w:val="24"/>
          <w:szCs w:val="24"/>
        </w:rPr>
        <w:lastRenderedPageBreak/>
        <w:t>De</w:t>
      </w:r>
      <w:r w:rsidR="00A40BE2" w:rsidRPr="00F4276F">
        <w:rPr>
          <w:rFonts w:cstheme="minorHAnsi"/>
          <w:b/>
          <w:color w:val="002060"/>
          <w:sz w:val="24"/>
          <w:szCs w:val="24"/>
        </w:rPr>
        <w:t>finiți</w:t>
      </w:r>
      <w:r w:rsidR="00545FF1" w:rsidRPr="00F4276F">
        <w:rPr>
          <w:rFonts w:cstheme="minorHAnsi"/>
          <w:b/>
          <w:color w:val="002060"/>
          <w:sz w:val="24"/>
          <w:szCs w:val="24"/>
        </w:rPr>
        <w:t>a</w:t>
      </w:r>
      <w:r w:rsidR="00A40BE2" w:rsidRPr="00F4276F">
        <w:rPr>
          <w:rFonts w:cstheme="minorHAnsi"/>
          <w:b/>
          <w:color w:val="002060"/>
          <w:sz w:val="24"/>
          <w:szCs w:val="24"/>
        </w:rPr>
        <w:t xml:space="preserve"> indicator</w:t>
      </w:r>
      <w:r w:rsidR="00545FF1" w:rsidRPr="00F4276F">
        <w:rPr>
          <w:rFonts w:cstheme="minorHAnsi"/>
          <w:b/>
          <w:color w:val="002060"/>
          <w:sz w:val="24"/>
          <w:szCs w:val="24"/>
        </w:rPr>
        <w:t xml:space="preserve">ului </w:t>
      </w:r>
      <w:r w:rsidR="00A40BE2" w:rsidRPr="00F4276F">
        <w:rPr>
          <w:rFonts w:cstheme="minorHAnsi"/>
          <w:b/>
          <w:color w:val="002060"/>
          <w:sz w:val="24"/>
          <w:szCs w:val="24"/>
        </w:rPr>
        <w:t>de rezultat</w:t>
      </w:r>
      <w:bookmarkEnd w:id="2"/>
    </w:p>
    <w:tbl>
      <w:tblPr>
        <w:tblStyle w:val="TableGrid"/>
        <w:tblW w:w="14705" w:type="dxa"/>
        <w:tblInd w:w="-455" w:type="dxa"/>
        <w:tblLook w:val="04A0" w:firstRow="1" w:lastRow="0" w:firstColumn="1" w:lastColumn="0" w:noHBand="0" w:noVBand="1"/>
      </w:tblPr>
      <w:tblGrid>
        <w:gridCol w:w="1260"/>
        <w:gridCol w:w="2420"/>
        <w:gridCol w:w="1362"/>
        <w:gridCol w:w="1362"/>
        <w:gridCol w:w="8301"/>
      </w:tblGrid>
      <w:tr w:rsidR="000E3A54" w:rsidRPr="00F4276F" w14:paraId="18822EB2" w14:textId="77777777" w:rsidTr="000E3A54">
        <w:trPr>
          <w:tblHeader/>
        </w:trPr>
        <w:tc>
          <w:tcPr>
            <w:tcW w:w="1260" w:type="dxa"/>
            <w:shd w:val="clear" w:color="auto" w:fill="C5E0B3" w:themeFill="accent6" w:themeFillTint="66"/>
          </w:tcPr>
          <w:p w14:paraId="46E55FD3"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Cod indicator</w:t>
            </w:r>
          </w:p>
        </w:tc>
        <w:tc>
          <w:tcPr>
            <w:tcW w:w="2420" w:type="dxa"/>
            <w:shd w:val="clear" w:color="auto" w:fill="C5E0B3" w:themeFill="accent6" w:themeFillTint="66"/>
          </w:tcPr>
          <w:p w14:paraId="689A01A2"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Denumire indicator</w:t>
            </w:r>
          </w:p>
        </w:tc>
        <w:tc>
          <w:tcPr>
            <w:tcW w:w="1362" w:type="dxa"/>
            <w:shd w:val="clear" w:color="auto" w:fill="C5E0B3" w:themeFill="accent6" w:themeFillTint="66"/>
          </w:tcPr>
          <w:p w14:paraId="6B697A32" w14:textId="4D486BA1"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Unitate de măsură</w:t>
            </w:r>
          </w:p>
        </w:tc>
        <w:tc>
          <w:tcPr>
            <w:tcW w:w="1362" w:type="dxa"/>
            <w:shd w:val="clear" w:color="auto" w:fill="C5E0B3" w:themeFill="accent6" w:themeFillTint="66"/>
          </w:tcPr>
          <w:p w14:paraId="773D97D6" w14:textId="52964F35"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Tip regiune</w:t>
            </w:r>
          </w:p>
        </w:tc>
        <w:tc>
          <w:tcPr>
            <w:tcW w:w="8301" w:type="dxa"/>
            <w:shd w:val="clear" w:color="auto" w:fill="C5E0B3" w:themeFill="accent6" w:themeFillTint="66"/>
          </w:tcPr>
          <w:p w14:paraId="6CF545C3"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Definiții și modalitate de calcul</w:t>
            </w:r>
          </w:p>
        </w:tc>
      </w:tr>
      <w:tr w:rsidR="000E3A54" w:rsidRPr="00F4276F" w14:paraId="50FEF11B" w14:textId="77777777" w:rsidTr="000E3A54">
        <w:tc>
          <w:tcPr>
            <w:tcW w:w="1260" w:type="dxa"/>
          </w:tcPr>
          <w:p w14:paraId="14DFEAF6" w14:textId="1D24F05A"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01PSR6</w:t>
            </w:r>
          </w:p>
        </w:tc>
        <w:tc>
          <w:tcPr>
            <w:tcW w:w="2420" w:type="dxa"/>
          </w:tcPr>
          <w:p w14:paraId="6D459B9B" w14:textId="60AAEE13"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Utilizatori ai cabinetului stomatologic pe an</w:t>
            </w:r>
          </w:p>
        </w:tc>
        <w:tc>
          <w:tcPr>
            <w:tcW w:w="1362" w:type="dxa"/>
          </w:tcPr>
          <w:p w14:paraId="5610FCE2" w14:textId="3839EFF0"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utilizatori/ an</w:t>
            </w:r>
          </w:p>
        </w:tc>
        <w:tc>
          <w:tcPr>
            <w:tcW w:w="1362" w:type="dxa"/>
          </w:tcPr>
          <w:p w14:paraId="187C309D" w14:textId="3C0CE744"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 xml:space="preserve">Regiuni mai puțin dezvoltate </w:t>
            </w:r>
          </w:p>
          <w:p w14:paraId="226F8B03" w14:textId="6F61A51D"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Regiune mai dezvoltată</w:t>
            </w:r>
          </w:p>
        </w:tc>
        <w:tc>
          <w:tcPr>
            <w:tcW w:w="8301" w:type="dxa"/>
          </w:tcPr>
          <w:p w14:paraId="188D0434" w14:textId="77777777" w:rsidR="000E3A54" w:rsidRPr="00F4276F" w:rsidRDefault="000E3A54" w:rsidP="00F4276F">
            <w:pPr>
              <w:spacing w:before="60"/>
              <w:jc w:val="both"/>
              <w:rPr>
                <w:rFonts w:cstheme="minorHAnsi"/>
                <w:b/>
                <w:color w:val="002060"/>
                <w:sz w:val="24"/>
                <w:szCs w:val="24"/>
                <w:lang w:val="ro-RO"/>
              </w:rPr>
            </w:pPr>
            <w:r w:rsidRPr="00F4276F">
              <w:rPr>
                <w:rFonts w:cstheme="minorHAnsi"/>
                <w:b/>
                <w:color w:val="002060"/>
                <w:sz w:val="24"/>
                <w:szCs w:val="24"/>
                <w:lang w:val="ro-RO"/>
              </w:rPr>
              <w:t>Definiție:</w:t>
            </w:r>
          </w:p>
          <w:p w14:paraId="74E6EEFE" w14:textId="48977EFD"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 xml:space="preserve">Numărul de persoane/ pacienți care au beneficiat de servicii medicale în cabinetul </w:t>
            </w:r>
            <w:r w:rsidR="00200818">
              <w:rPr>
                <w:rFonts w:cstheme="minorHAnsi"/>
                <w:color w:val="002060"/>
                <w:sz w:val="24"/>
                <w:szCs w:val="24"/>
                <w:lang w:val="ro-RO"/>
              </w:rPr>
              <w:t>de asistență stomatologică</w:t>
            </w:r>
            <w:r w:rsidRPr="00F4276F">
              <w:rPr>
                <w:rFonts w:cstheme="minorHAnsi"/>
                <w:color w:val="002060"/>
                <w:sz w:val="24"/>
                <w:szCs w:val="24"/>
                <w:lang w:val="ro-RO"/>
              </w:rPr>
              <w:t xml:space="preserve"> sprijinit prin proiect </w:t>
            </w:r>
            <w:r w:rsidRPr="00F4276F">
              <w:rPr>
                <w:rFonts w:cstheme="minorHAnsi"/>
                <w:b/>
                <w:bCs/>
                <w:color w:val="002060"/>
                <w:sz w:val="24"/>
                <w:szCs w:val="24"/>
                <w:lang w:val="ro-RO"/>
              </w:rPr>
              <w:t>în decursul unui an de la finalizarea investiției (la un an de când investiția este operațională – poate primi pacienți</w:t>
            </w:r>
            <w:r w:rsidRPr="00F4276F">
              <w:rPr>
                <w:rFonts w:cstheme="minorHAnsi"/>
                <w:color w:val="002060"/>
                <w:sz w:val="24"/>
                <w:szCs w:val="24"/>
                <w:lang w:val="ro-RO"/>
              </w:rPr>
              <w:t xml:space="preserve">). O persoană poate fi luată în calcul de mai multe ori dacă utilizează facilitățile de mai multe ori (vizite). </w:t>
            </w:r>
          </w:p>
          <w:p w14:paraId="5A6B77A3" w14:textId="7848BCB7"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 xml:space="preserve">În cazul Programului Sănătate, pentru aceste intervenții valoarea de referință este zero. </w:t>
            </w:r>
          </w:p>
          <w:p w14:paraId="67D9A1AC" w14:textId="77777777" w:rsidR="000E3A54" w:rsidRPr="00F4276F" w:rsidRDefault="000E3A54" w:rsidP="00F4276F">
            <w:pPr>
              <w:spacing w:before="60"/>
              <w:jc w:val="both"/>
              <w:rPr>
                <w:rFonts w:cstheme="minorHAnsi"/>
                <w:b/>
                <w:color w:val="002060"/>
                <w:sz w:val="24"/>
                <w:szCs w:val="24"/>
                <w:lang w:val="ro-RO"/>
              </w:rPr>
            </w:pPr>
          </w:p>
          <w:p w14:paraId="231C2E2F" w14:textId="77777777" w:rsidR="000E3A54" w:rsidRPr="00F4276F" w:rsidRDefault="000E3A54" w:rsidP="00F4276F">
            <w:pPr>
              <w:spacing w:before="60"/>
              <w:jc w:val="both"/>
              <w:rPr>
                <w:rFonts w:cstheme="minorHAnsi"/>
                <w:b/>
                <w:color w:val="002060"/>
                <w:sz w:val="24"/>
                <w:szCs w:val="24"/>
                <w:lang w:val="ro-RO"/>
              </w:rPr>
            </w:pPr>
            <w:r w:rsidRPr="00F4276F">
              <w:rPr>
                <w:rFonts w:cstheme="minorHAnsi"/>
                <w:b/>
                <w:color w:val="002060"/>
                <w:sz w:val="24"/>
                <w:szCs w:val="24"/>
                <w:lang w:val="ro-RO"/>
              </w:rPr>
              <w:t>Modalitate de calcul:</w:t>
            </w:r>
          </w:p>
          <w:p w14:paraId="0B248DBB" w14:textId="30B07B71"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Modalitatea de calcul o reprezintă suma pacienților deserviți de unitatea de asistență medicală sprijinită în decursul unui an de la operaționalizarea investiției</w:t>
            </w:r>
            <w:r w:rsidRPr="00F4276F">
              <w:rPr>
                <w:rFonts w:cstheme="minorHAnsi"/>
                <w:b/>
                <w:bCs/>
                <w:color w:val="002060"/>
                <w:sz w:val="24"/>
                <w:szCs w:val="24"/>
                <w:lang w:val="ro-RO"/>
              </w:rPr>
              <w:t xml:space="preserve"> </w:t>
            </w:r>
            <w:r w:rsidRPr="00F4276F">
              <w:rPr>
                <w:rFonts w:cstheme="minorHAnsi"/>
                <w:color w:val="002060"/>
                <w:sz w:val="24"/>
                <w:szCs w:val="24"/>
                <w:lang w:val="ro-RO"/>
              </w:rPr>
              <w:t xml:space="preserve">calculată </w:t>
            </w:r>
            <w:r w:rsidRPr="00F4276F">
              <w:rPr>
                <w:rFonts w:cstheme="minorHAnsi"/>
                <w:b/>
                <w:color w:val="002060"/>
                <w:sz w:val="24"/>
                <w:szCs w:val="24"/>
                <w:lang w:val="ro-RO"/>
              </w:rPr>
              <w:t>conform Anexei 2.1. ”</w:t>
            </w:r>
            <w:r w:rsidR="00444A15">
              <w:rPr>
                <w:rFonts w:cstheme="minorHAnsi"/>
                <w:b/>
                <w:color w:val="002060"/>
                <w:sz w:val="24"/>
                <w:szCs w:val="24"/>
                <w:lang w:val="ro-RO"/>
              </w:rPr>
              <w:t>Calcul</w:t>
            </w:r>
            <w:r w:rsidR="00444A15" w:rsidRPr="00F4276F">
              <w:rPr>
                <w:rFonts w:cstheme="minorHAnsi"/>
                <w:b/>
                <w:color w:val="002060"/>
                <w:sz w:val="24"/>
                <w:szCs w:val="24"/>
                <w:lang w:val="ro-RO"/>
              </w:rPr>
              <w:t xml:space="preserve"> </w:t>
            </w:r>
            <w:r w:rsidRPr="00F4276F">
              <w:rPr>
                <w:rFonts w:cstheme="minorHAnsi"/>
                <w:b/>
                <w:color w:val="002060"/>
                <w:sz w:val="24"/>
                <w:szCs w:val="24"/>
                <w:lang w:val="ro-RO"/>
              </w:rPr>
              <w:t xml:space="preserve">țintă indicatori”. </w:t>
            </w:r>
            <w:r w:rsidRPr="00F4276F">
              <w:rPr>
                <w:rFonts w:cstheme="minorHAnsi"/>
                <w:bCs/>
                <w:color w:val="002060"/>
                <w:sz w:val="24"/>
                <w:szCs w:val="24"/>
                <w:lang w:val="ro-RO"/>
              </w:rPr>
              <w:t>Dac</w:t>
            </w:r>
            <w:r w:rsidRPr="00F4276F">
              <w:rPr>
                <w:rFonts w:cstheme="minorHAnsi"/>
                <w:color w:val="002060"/>
                <w:sz w:val="24"/>
                <w:szCs w:val="24"/>
                <w:lang w:val="ro-RO"/>
              </w:rPr>
              <w:t>ă o persoană a beneficiat de servicii medicale de mai multe ori în decursul unui an, indicatorul admite numărători multiple.</w:t>
            </w:r>
          </w:p>
          <w:p w14:paraId="145DEB72" w14:textId="77777777" w:rsidR="000E3A54" w:rsidRPr="00F4276F" w:rsidRDefault="000E3A54" w:rsidP="00F4276F">
            <w:pPr>
              <w:spacing w:before="60"/>
              <w:jc w:val="both"/>
              <w:rPr>
                <w:rFonts w:cstheme="minorHAnsi"/>
                <w:color w:val="002060"/>
                <w:sz w:val="24"/>
                <w:szCs w:val="24"/>
                <w:lang w:val="ro-RO"/>
              </w:rPr>
            </w:pPr>
          </w:p>
          <w:p w14:paraId="721E23D7" w14:textId="77777777"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Modalitatea de calcul se efectuează astfel:</w:t>
            </w:r>
          </w:p>
          <w:p w14:paraId="0951EE7D" w14:textId="77777777" w:rsidR="000E3A54" w:rsidRPr="00F4276F" w:rsidRDefault="000E3A54" w:rsidP="00F4276F">
            <w:pPr>
              <w:pStyle w:val="ListParagraph"/>
              <w:numPr>
                <w:ilvl w:val="0"/>
                <w:numId w:val="7"/>
              </w:numPr>
              <w:spacing w:before="60"/>
              <w:contextualSpacing w:val="0"/>
              <w:jc w:val="both"/>
              <w:rPr>
                <w:rFonts w:cstheme="minorHAnsi"/>
                <w:color w:val="002060"/>
                <w:sz w:val="24"/>
                <w:szCs w:val="24"/>
                <w:lang w:val="ro-RO"/>
              </w:rPr>
            </w:pPr>
            <w:r w:rsidRPr="00F4276F">
              <w:rPr>
                <w:rFonts w:cstheme="minorHAnsi"/>
                <w:b/>
                <w:bCs/>
                <w:color w:val="002060"/>
                <w:sz w:val="24"/>
                <w:szCs w:val="24"/>
                <w:lang w:val="ro-RO"/>
              </w:rPr>
              <w:t>La</w:t>
            </w:r>
            <w:r w:rsidRPr="00F4276F">
              <w:rPr>
                <w:rFonts w:cstheme="minorHAnsi"/>
                <w:color w:val="002060"/>
                <w:sz w:val="24"/>
                <w:szCs w:val="24"/>
                <w:lang w:val="ro-RO"/>
              </w:rPr>
              <w:t xml:space="preserve"> </w:t>
            </w:r>
            <w:r w:rsidRPr="00F4276F">
              <w:rPr>
                <w:rFonts w:cstheme="minorHAnsi"/>
                <w:b/>
                <w:bCs/>
                <w:color w:val="002060"/>
                <w:sz w:val="24"/>
                <w:szCs w:val="24"/>
                <w:lang w:val="ro-RO"/>
              </w:rPr>
              <w:t>momentul depunerii cererii de finanțare</w:t>
            </w:r>
            <w:r w:rsidRPr="00F4276F">
              <w:rPr>
                <w:rFonts w:cstheme="minorHAnsi"/>
                <w:color w:val="002060"/>
                <w:sz w:val="24"/>
                <w:szCs w:val="24"/>
                <w:lang w:val="ro-RO"/>
              </w:rPr>
              <w:t xml:space="preserve"> – estimarea numărului anual de utilizatori ai unității de asistență medicală sprijinite </w:t>
            </w:r>
          </w:p>
          <w:p w14:paraId="2736DCCC" w14:textId="44ED1E16" w:rsidR="000E3A54" w:rsidRPr="00F4276F" w:rsidRDefault="000E3A54" w:rsidP="00F4276F">
            <w:pPr>
              <w:pStyle w:val="ListParagraph"/>
              <w:numPr>
                <w:ilvl w:val="0"/>
                <w:numId w:val="7"/>
              </w:numPr>
              <w:spacing w:before="60"/>
              <w:contextualSpacing w:val="0"/>
              <w:jc w:val="both"/>
              <w:rPr>
                <w:rFonts w:cstheme="minorHAnsi"/>
                <w:color w:val="002060"/>
                <w:sz w:val="24"/>
                <w:szCs w:val="24"/>
                <w:lang w:val="ro-RO"/>
              </w:rPr>
            </w:pPr>
            <w:r w:rsidRPr="00F4276F">
              <w:rPr>
                <w:rFonts w:cstheme="minorHAnsi"/>
                <w:b/>
                <w:bCs/>
                <w:color w:val="002060"/>
                <w:sz w:val="24"/>
                <w:szCs w:val="24"/>
                <w:lang w:val="ro-RO"/>
              </w:rPr>
              <w:t>La un an de la operaționalizarea investiției</w:t>
            </w:r>
            <w:r w:rsidRPr="00F4276F">
              <w:rPr>
                <w:rFonts w:cstheme="minorHAnsi"/>
                <w:color w:val="002060"/>
                <w:sz w:val="24"/>
                <w:szCs w:val="24"/>
                <w:lang w:val="ro-RO"/>
              </w:rPr>
              <w:t xml:space="preserve"> (din momentul în care a fost pusă în utilizare) se va raporta numărul </w:t>
            </w:r>
            <w:r w:rsidRPr="00F4276F">
              <w:rPr>
                <w:rFonts w:cstheme="minorHAnsi"/>
                <w:color w:val="002060"/>
                <w:sz w:val="24"/>
                <w:szCs w:val="24"/>
                <w:u w:val="single"/>
                <w:lang w:val="ro-RO"/>
              </w:rPr>
              <w:t>real efectiv anual</w:t>
            </w:r>
            <w:r w:rsidRPr="00F4276F">
              <w:rPr>
                <w:rFonts w:cstheme="minorHAnsi"/>
                <w:color w:val="002060"/>
                <w:sz w:val="24"/>
                <w:szCs w:val="24"/>
                <w:lang w:val="ro-RO"/>
              </w:rPr>
              <w:t xml:space="preserve"> de utilizatori ai unității sprijinite</w:t>
            </w:r>
          </w:p>
          <w:p w14:paraId="7EC1381A" w14:textId="1F4C7A04" w:rsidR="000E3A54" w:rsidRPr="00F4276F" w:rsidRDefault="000E3A54" w:rsidP="00F4276F">
            <w:pPr>
              <w:spacing w:before="60"/>
              <w:jc w:val="both"/>
              <w:rPr>
                <w:rFonts w:cstheme="minorHAnsi"/>
                <w:bCs/>
                <w:color w:val="002060"/>
                <w:sz w:val="24"/>
                <w:szCs w:val="24"/>
                <w:lang w:val="ro-RO"/>
              </w:rPr>
            </w:pPr>
            <w:r w:rsidRPr="00F4276F">
              <w:rPr>
                <w:rFonts w:cstheme="minorHAnsi"/>
                <w:color w:val="002060"/>
                <w:sz w:val="24"/>
                <w:szCs w:val="24"/>
                <w:lang w:val="ro-RO"/>
              </w:rPr>
              <w:t xml:space="preserve">Modalitatea de calcul este reflectată în </w:t>
            </w:r>
            <w:r w:rsidRPr="00F4276F">
              <w:rPr>
                <w:rFonts w:cstheme="minorHAnsi"/>
                <w:b/>
                <w:bCs/>
                <w:color w:val="002060"/>
                <w:sz w:val="24"/>
                <w:szCs w:val="24"/>
                <w:lang w:val="ro-RO"/>
              </w:rPr>
              <w:t>Anexa</w:t>
            </w:r>
            <w:r w:rsidRPr="00F4276F">
              <w:rPr>
                <w:rFonts w:cstheme="minorHAnsi"/>
                <w:b/>
                <w:color w:val="002060"/>
                <w:sz w:val="24"/>
                <w:szCs w:val="24"/>
                <w:lang w:val="ro-RO"/>
              </w:rPr>
              <w:t xml:space="preserve"> 2.1. ”</w:t>
            </w:r>
            <w:r w:rsidR="00444A15">
              <w:rPr>
                <w:rFonts w:cstheme="minorHAnsi"/>
                <w:b/>
                <w:color w:val="002060"/>
                <w:sz w:val="24"/>
                <w:szCs w:val="24"/>
                <w:lang w:val="ro-RO"/>
              </w:rPr>
              <w:t>Calcul</w:t>
            </w:r>
            <w:r w:rsidRPr="00F4276F">
              <w:rPr>
                <w:rFonts w:cstheme="minorHAnsi"/>
                <w:b/>
                <w:color w:val="002060"/>
                <w:sz w:val="24"/>
                <w:szCs w:val="24"/>
                <w:lang w:val="ro-RO"/>
              </w:rPr>
              <w:t xml:space="preserve"> țintă indicatori” </w:t>
            </w:r>
            <w:r w:rsidRPr="00F4276F">
              <w:rPr>
                <w:rFonts w:cstheme="minorHAnsi"/>
                <w:bCs/>
                <w:color w:val="002060"/>
                <w:sz w:val="24"/>
                <w:szCs w:val="24"/>
                <w:lang w:val="ro-RO"/>
              </w:rPr>
              <w:t>cu indicații de completare pentru cele 2 momente, anume: la depunerea cererii de finanțare și la un an de la operaționalizarea investiției.</w:t>
            </w:r>
          </w:p>
          <w:p w14:paraId="55922DE9" w14:textId="77777777" w:rsidR="000E3A54" w:rsidRPr="00F4276F" w:rsidRDefault="000E3A54" w:rsidP="00F4276F">
            <w:pPr>
              <w:spacing w:before="60"/>
              <w:jc w:val="both"/>
              <w:rPr>
                <w:rFonts w:cstheme="minorHAnsi"/>
                <w:bCs/>
                <w:color w:val="002060"/>
                <w:sz w:val="24"/>
                <w:szCs w:val="24"/>
                <w:lang w:val="ro-RO"/>
              </w:rPr>
            </w:pPr>
          </w:p>
          <w:p w14:paraId="63F83635" w14:textId="77777777" w:rsidR="000E3A54" w:rsidRPr="00F4276F" w:rsidRDefault="000E3A54" w:rsidP="00F4276F">
            <w:pPr>
              <w:spacing w:before="60"/>
              <w:jc w:val="both"/>
              <w:rPr>
                <w:rFonts w:cstheme="minorHAnsi"/>
                <w:color w:val="C00000"/>
                <w:sz w:val="24"/>
                <w:szCs w:val="24"/>
                <w:lang w:val="ro-RO"/>
              </w:rPr>
            </w:pPr>
            <w:r w:rsidRPr="00F4276F">
              <w:rPr>
                <w:rFonts w:cstheme="minorHAnsi"/>
                <w:b/>
                <w:bCs/>
                <w:color w:val="C00000"/>
                <w:sz w:val="24"/>
                <w:szCs w:val="24"/>
                <w:lang w:val="ro-RO"/>
              </w:rPr>
              <w:lastRenderedPageBreak/>
              <w:t>Atenție!</w:t>
            </w:r>
            <w:r w:rsidRPr="00F4276F">
              <w:rPr>
                <w:rFonts w:cstheme="minorHAnsi"/>
                <w:color w:val="C00000"/>
                <w:sz w:val="24"/>
                <w:szCs w:val="24"/>
                <w:lang w:val="ro-RO"/>
              </w:rPr>
              <w:t xml:space="preserve"> </w:t>
            </w:r>
          </w:p>
          <w:p w14:paraId="4444850B" w14:textId="0668107F" w:rsidR="000E3A54" w:rsidRPr="00F4276F" w:rsidRDefault="000E3A54" w:rsidP="00F4276F">
            <w:pPr>
              <w:pStyle w:val="ListParagraph"/>
              <w:numPr>
                <w:ilvl w:val="0"/>
                <w:numId w:val="12"/>
              </w:numPr>
              <w:spacing w:before="60"/>
              <w:contextualSpacing w:val="0"/>
              <w:jc w:val="both"/>
              <w:rPr>
                <w:rFonts w:cstheme="minorHAnsi"/>
                <w:color w:val="002060"/>
                <w:sz w:val="24"/>
                <w:szCs w:val="24"/>
                <w:lang w:val="ro-RO"/>
              </w:rPr>
            </w:pPr>
            <w:r w:rsidRPr="00F4276F">
              <w:rPr>
                <w:rFonts w:cstheme="minorHAnsi"/>
                <w:b/>
                <w:bCs/>
                <w:color w:val="002060"/>
                <w:sz w:val="24"/>
                <w:szCs w:val="24"/>
                <w:u w:val="single"/>
                <w:lang w:val="ro-RO"/>
              </w:rPr>
              <w:t>Pentru acest indicator vă veți raporta strict la numărul de pacienți deserviți</w:t>
            </w:r>
            <w:r w:rsidRPr="00F4276F">
              <w:rPr>
                <w:rFonts w:cstheme="minorHAnsi"/>
                <w:b/>
                <w:bCs/>
                <w:color w:val="002060"/>
                <w:sz w:val="24"/>
                <w:szCs w:val="24"/>
                <w:lang w:val="ro-RO"/>
              </w:rPr>
              <w:t xml:space="preserve"> de cabinetul </w:t>
            </w:r>
            <w:r w:rsidR="002D75AC">
              <w:rPr>
                <w:rFonts w:cstheme="minorHAnsi"/>
                <w:b/>
                <w:bCs/>
                <w:color w:val="002060"/>
                <w:sz w:val="24"/>
                <w:szCs w:val="24"/>
                <w:lang w:val="ro-RO"/>
              </w:rPr>
              <w:t xml:space="preserve">de asistență </w:t>
            </w:r>
            <w:r w:rsidRPr="00F4276F">
              <w:rPr>
                <w:rFonts w:cstheme="minorHAnsi"/>
                <w:b/>
                <w:bCs/>
                <w:color w:val="002060"/>
                <w:sz w:val="24"/>
                <w:szCs w:val="24"/>
                <w:lang w:val="ro-RO"/>
              </w:rPr>
              <w:t>medical</w:t>
            </w:r>
            <w:r w:rsidR="002D75AC">
              <w:rPr>
                <w:rFonts w:cstheme="minorHAnsi"/>
                <w:b/>
                <w:bCs/>
                <w:color w:val="002060"/>
                <w:sz w:val="24"/>
                <w:szCs w:val="24"/>
                <w:lang w:val="ro-RO"/>
              </w:rPr>
              <w:t>ă</w:t>
            </w:r>
            <w:r w:rsidRPr="00F4276F">
              <w:rPr>
                <w:rFonts w:cstheme="minorHAnsi"/>
                <w:b/>
                <w:bCs/>
                <w:color w:val="002060"/>
                <w:sz w:val="24"/>
                <w:szCs w:val="24"/>
                <w:lang w:val="ro-RO"/>
              </w:rPr>
              <w:t xml:space="preserve"> stomatologic</w:t>
            </w:r>
            <w:r w:rsidR="002D75AC">
              <w:rPr>
                <w:rFonts w:cstheme="minorHAnsi"/>
                <w:b/>
                <w:bCs/>
                <w:color w:val="002060"/>
                <w:sz w:val="24"/>
                <w:szCs w:val="24"/>
                <w:lang w:val="ro-RO"/>
              </w:rPr>
              <w:t>ă</w:t>
            </w:r>
            <w:r w:rsidRPr="00F4276F">
              <w:rPr>
                <w:rFonts w:cstheme="minorHAnsi"/>
                <w:b/>
                <w:bCs/>
                <w:color w:val="002060"/>
                <w:sz w:val="24"/>
                <w:szCs w:val="24"/>
                <w:lang w:val="ro-RO"/>
              </w:rPr>
              <w:t xml:space="preserve"> care a beneficiat de investiție </w:t>
            </w:r>
            <w:r w:rsidRPr="00F4276F">
              <w:rPr>
                <w:rFonts w:cstheme="minorHAnsi"/>
                <w:color w:val="002060"/>
                <w:sz w:val="24"/>
                <w:szCs w:val="24"/>
                <w:lang w:val="ro-RO"/>
              </w:rPr>
              <w:t>(nu se vor include în ținta indicatorului acei pacienți care beneficiază de infrastructura care nu face obiectul investiției). Ex cabinetele care nu au făcut obiectul investiției</w:t>
            </w:r>
          </w:p>
          <w:p w14:paraId="13B0BF28" w14:textId="77777777" w:rsidR="000E3A54" w:rsidRPr="00F4276F" w:rsidRDefault="000E3A54" w:rsidP="00F4276F">
            <w:pPr>
              <w:spacing w:before="60"/>
              <w:jc w:val="both"/>
              <w:rPr>
                <w:rFonts w:cstheme="minorHAnsi"/>
                <w:color w:val="002060"/>
                <w:sz w:val="24"/>
                <w:szCs w:val="24"/>
                <w:lang w:val="ro-RO"/>
              </w:rPr>
            </w:pPr>
          </w:p>
          <w:p w14:paraId="7EA211EE" w14:textId="77777777" w:rsidR="000E3A54" w:rsidRPr="00F4276F" w:rsidRDefault="000E3A54" w:rsidP="00F4276F">
            <w:pPr>
              <w:spacing w:before="60"/>
              <w:jc w:val="both"/>
              <w:rPr>
                <w:rFonts w:cstheme="minorHAnsi"/>
                <w:b/>
                <w:color w:val="C00000"/>
                <w:sz w:val="24"/>
                <w:szCs w:val="24"/>
                <w:lang w:val="ro-RO"/>
              </w:rPr>
            </w:pPr>
            <w:r w:rsidRPr="00F4276F">
              <w:rPr>
                <w:rFonts w:cstheme="minorHAnsi"/>
                <w:b/>
                <w:color w:val="C00000"/>
                <w:sz w:val="24"/>
                <w:szCs w:val="24"/>
                <w:lang w:val="ro-RO"/>
              </w:rPr>
              <w:t>Raportare</w:t>
            </w:r>
          </w:p>
          <w:p w14:paraId="3B925046" w14:textId="77777777" w:rsidR="000E3A54" w:rsidRPr="00F4276F" w:rsidRDefault="000E3A54" w:rsidP="00F4276F">
            <w:pPr>
              <w:pStyle w:val="ListParagraph"/>
              <w:numPr>
                <w:ilvl w:val="0"/>
                <w:numId w:val="11"/>
              </w:numPr>
              <w:spacing w:before="60"/>
              <w:contextualSpacing w:val="0"/>
              <w:jc w:val="both"/>
              <w:rPr>
                <w:rFonts w:cstheme="minorHAnsi"/>
                <w:color w:val="002060"/>
                <w:sz w:val="24"/>
                <w:szCs w:val="24"/>
                <w:lang w:val="ro-RO"/>
              </w:rPr>
            </w:pPr>
            <w:r w:rsidRPr="00F4276F">
              <w:rPr>
                <w:rFonts w:cstheme="minorHAnsi"/>
                <w:b/>
                <w:bCs/>
                <w:color w:val="002060"/>
                <w:sz w:val="24"/>
                <w:szCs w:val="24"/>
                <w:lang w:val="ro-RO"/>
              </w:rPr>
              <w:t>Se raportează o singură dată,</w:t>
            </w:r>
            <w:r w:rsidRPr="00F4276F">
              <w:rPr>
                <w:rFonts w:cstheme="minorHAnsi"/>
                <w:color w:val="002060"/>
                <w:sz w:val="24"/>
                <w:szCs w:val="24"/>
                <w:lang w:val="ro-RO"/>
              </w:rPr>
              <w:t xml:space="preserve"> </w:t>
            </w:r>
            <w:r w:rsidRPr="00F4276F">
              <w:rPr>
                <w:rFonts w:cstheme="minorHAnsi"/>
                <w:b/>
                <w:bCs/>
                <w:color w:val="002060"/>
                <w:sz w:val="24"/>
                <w:szCs w:val="24"/>
                <w:lang w:val="ro-RO"/>
              </w:rPr>
              <w:t>la 1 an de la momentul în care unitatea/ structura sprijinită devine operațională</w:t>
            </w:r>
            <w:r w:rsidRPr="00F4276F">
              <w:rPr>
                <w:rFonts w:cstheme="minorHAnsi"/>
                <w:color w:val="002060"/>
                <w:sz w:val="24"/>
                <w:szCs w:val="24"/>
                <w:lang w:val="ro-RO"/>
              </w:rPr>
              <w:t xml:space="preserve"> (în baza documentelor justificative).</w:t>
            </w:r>
          </w:p>
          <w:p w14:paraId="7D2D6169" w14:textId="7BCD5FA1" w:rsidR="000E3A54" w:rsidRPr="00F4276F" w:rsidRDefault="000E3A54" w:rsidP="00F4276F">
            <w:pPr>
              <w:pStyle w:val="ListParagraph"/>
              <w:numPr>
                <w:ilvl w:val="0"/>
                <w:numId w:val="11"/>
              </w:numPr>
              <w:spacing w:before="60"/>
              <w:contextualSpacing w:val="0"/>
              <w:jc w:val="both"/>
              <w:rPr>
                <w:rFonts w:cstheme="minorHAnsi"/>
                <w:color w:val="002060"/>
                <w:sz w:val="24"/>
                <w:szCs w:val="24"/>
                <w:lang w:val="ro-RO"/>
              </w:rPr>
            </w:pPr>
            <w:r w:rsidRPr="00F4276F">
              <w:rPr>
                <w:rFonts w:cstheme="minorHAnsi"/>
                <w:color w:val="002060"/>
                <w:sz w:val="24"/>
                <w:szCs w:val="24"/>
                <w:lang w:val="ro-RO"/>
              </w:rPr>
              <w:t xml:space="preserve">Stabilirea și raportarea indicatorului de rezultat pe tip de regiune de dezvoltare se face funcție de localizarea cabinetului </w:t>
            </w:r>
            <w:r w:rsidR="002D75AC">
              <w:rPr>
                <w:rFonts w:cstheme="minorHAnsi"/>
                <w:color w:val="002060"/>
                <w:sz w:val="24"/>
                <w:szCs w:val="24"/>
                <w:lang w:val="ro-RO"/>
              </w:rPr>
              <w:t>de asistență medica</w:t>
            </w:r>
            <w:r w:rsidR="00444A15">
              <w:rPr>
                <w:rFonts w:cstheme="minorHAnsi"/>
                <w:color w:val="002060"/>
                <w:sz w:val="24"/>
                <w:szCs w:val="24"/>
                <w:lang w:val="ro-RO"/>
              </w:rPr>
              <w:t>l</w:t>
            </w:r>
            <w:r w:rsidR="002D75AC">
              <w:rPr>
                <w:rFonts w:cstheme="minorHAnsi"/>
                <w:color w:val="002060"/>
                <w:sz w:val="24"/>
                <w:szCs w:val="24"/>
                <w:lang w:val="ro-RO"/>
              </w:rPr>
              <w:t xml:space="preserve">ă stomatologică din cadrul ambulatoriului unității sanitare </w:t>
            </w:r>
            <w:r w:rsidRPr="00F4276F">
              <w:rPr>
                <w:rFonts w:cstheme="minorHAnsi"/>
                <w:color w:val="002060"/>
                <w:sz w:val="24"/>
                <w:szCs w:val="24"/>
                <w:lang w:val="ro-RO"/>
              </w:rPr>
              <w:t>care beneficiază de investiție, respectiv fie regiunea mai dezvoltată București Ilfov, fie regiune mai puțin dezvoltată (și nu funcție de localizarea solicitantului/ partenerului/ domiciliul pacientului)</w:t>
            </w:r>
          </w:p>
        </w:tc>
      </w:tr>
    </w:tbl>
    <w:p w14:paraId="0B3F2491" w14:textId="77777777" w:rsidR="005E7824" w:rsidRPr="00F4276F" w:rsidRDefault="005E7824" w:rsidP="00F4276F">
      <w:pPr>
        <w:spacing w:before="60" w:after="0" w:line="240" w:lineRule="auto"/>
        <w:jc w:val="both"/>
        <w:rPr>
          <w:rFonts w:cstheme="minorHAnsi"/>
          <w:color w:val="002060"/>
          <w:sz w:val="24"/>
          <w:szCs w:val="24"/>
        </w:rPr>
      </w:pPr>
    </w:p>
    <w:sectPr w:rsidR="005E7824" w:rsidRPr="00F4276F" w:rsidSect="006C239A">
      <w:headerReference w:type="even" r:id="rId8"/>
      <w:headerReference w:type="default" r:id="rId9"/>
      <w:footerReference w:type="even" r:id="rId10"/>
      <w:footerReference w:type="default" r:id="rId11"/>
      <w:headerReference w:type="first" r:id="rId12"/>
      <w:footerReference w:type="first" r:id="rId13"/>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D8BA5" w14:textId="77777777" w:rsidR="00230B49" w:rsidRDefault="00230B49" w:rsidP="000B36E6">
      <w:pPr>
        <w:spacing w:after="0" w:line="240" w:lineRule="auto"/>
      </w:pPr>
      <w:r>
        <w:separator/>
      </w:r>
    </w:p>
  </w:endnote>
  <w:endnote w:type="continuationSeparator" w:id="0">
    <w:p w14:paraId="5DAA09AA" w14:textId="77777777" w:rsidR="00230B49" w:rsidRDefault="00230B49"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46041" w14:textId="77777777" w:rsidR="003D30B5" w:rsidRDefault="003D30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1834177"/>
      <w:docPartObj>
        <w:docPartGallery w:val="Page Numbers (Bottom of Page)"/>
        <w:docPartUnique/>
      </w:docPartObj>
    </w:sdtPr>
    <w:sdtEndPr>
      <w:rPr>
        <w:noProof/>
      </w:rPr>
    </w:sdtEndPr>
    <w:sdtContent>
      <w:p w14:paraId="7383FA1D" w14:textId="2378314C" w:rsidR="009741DC" w:rsidRDefault="009741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4C290" w14:textId="77777777" w:rsidR="003D30B5" w:rsidRDefault="003D30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821AF" w14:textId="77777777" w:rsidR="00230B49" w:rsidRDefault="00230B49" w:rsidP="000B36E6">
      <w:pPr>
        <w:spacing w:after="0" w:line="240" w:lineRule="auto"/>
      </w:pPr>
      <w:r>
        <w:separator/>
      </w:r>
    </w:p>
  </w:footnote>
  <w:footnote w:type="continuationSeparator" w:id="0">
    <w:p w14:paraId="7E628F8F" w14:textId="77777777" w:rsidR="00230B49" w:rsidRDefault="00230B49" w:rsidP="000B3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C602E" w14:textId="77777777" w:rsidR="003D30B5" w:rsidRDefault="003D30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F0F3E" w14:textId="44ED7BE4" w:rsidR="000B36E6" w:rsidRPr="006C239A" w:rsidRDefault="00C40D12" w:rsidP="00F45543">
    <w:pPr>
      <w:spacing w:before="60" w:after="0" w:line="240" w:lineRule="auto"/>
      <w:jc w:val="center"/>
      <w:rPr>
        <w:rFonts w:eastAsia="Calibri" w:cstheme="minorHAnsi"/>
        <w:b/>
        <w:bCs/>
        <w:color w:val="002060"/>
      </w:rPr>
    </w:pPr>
    <w:bookmarkStart w:id="3" w:name="_Hlk142032642"/>
    <w:r w:rsidRPr="003F1677">
      <w:rPr>
        <w:b/>
        <w:bCs/>
        <w:color w:val="002060"/>
        <w:sz w:val="20"/>
        <w:szCs w:val="20"/>
      </w:rPr>
      <w:t xml:space="preserve">Ghidul solicitantului: </w:t>
    </w:r>
    <w:bookmarkEnd w:id="3"/>
    <w:r w:rsidR="003D30B5" w:rsidRPr="003D30B5">
      <w:rPr>
        <w:b/>
        <w:bCs/>
        <w:color w:val="002060"/>
        <w:sz w:val="20"/>
        <w:szCs w:val="20"/>
      </w:rPr>
      <w:t>Investiții de tipul înființare/ renovare/ dotare cabinete de asistență medicală stomatologică care să furnizeze servicii copiilor, inclusiv copiilor cu nevoi speciale în ambulatoriile integrate spitalelor de pediatrie sau ambulatoriile spitalelor publice care au secții de pediatrie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0B52B" w14:textId="77777777" w:rsidR="003D30B5" w:rsidRDefault="003D30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310A57"/>
    <w:multiLevelType w:val="hybridMultilevel"/>
    <w:tmpl w:val="CCCA1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13744A0"/>
    <w:multiLevelType w:val="hybridMultilevel"/>
    <w:tmpl w:val="F5485E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65732D0F"/>
    <w:multiLevelType w:val="hybridMultilevel"/>
    <w:tmpl w:val="BED6B19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711C211A"/>
    <w:multiLevelType w:val="hybridMultilevel"/>
    <w:tmpl w:val="E34EB2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7F0C34A7"/>
    <w:multiLevelType w:val="hybridMultilevel"/>
    <w:tmpl w:val="2D2C6F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26225991">
    <w:abstractNumId w:val="2"/>
  </w:num>
  <w:num w:numId="2" w16cid:durableId="1334838568">
    <w:abstractNumId w:val="7"/>
  </w:num>
  <w:num w:numId="3" w16cid:durableId="420757746">
    <w:abstractNumId w:val="1"/>
  </w:num>
  <w:num w:numId="4" w16cid:durableId="1852601386">
    <w:abstractNumId w:val="8"/>
  </w:num>
  <w:num w:numId="5" w16cid:durableId="2066946728">
    <w:abstractNumId w:val="10"/>
  </w:num>
  <w:num w:numId="6" w16cid:durableId="122694555">
    <w:abstractNumId w:val="4"/>
  </w:num>
  <w:num w:numId="7" w16cid:durableId="2125270642">
    <w:abstractNumId w:val="9"/>
  </w:num>
  <w:num w:numId="8" w16cid:durableId="1316186064">
    <w:abstractNumId w:val="3"/>
  </w:num>
  <w:num w:numId="9" w16cid:durableId="830829993">
    <w:abstractNumId w:val="0"/>
  </w:num>
  <w:num w:numId="10" w16cid:durableId="897088916">
    <w:abstractNumId w:val="5"/>
  </w:num>
  <w:num w:numId="11" w16cid:durableId="2083479607">
    <w:abstractNumId w:val="6"/>
  </w:num>
  <w:num w:numId="12" w16cid:durableId="5826453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12A69"/>
    <w:rsid w:val="00017B96"/>
    <w:rsid w:val="00042EAC"/>
    <w:rsid w:val="000603E7"/>
    <w:rsid w:val="00075299"/>
    <w:rsid w:val="00096EFB"/>
    <w:rsid w:val="000B36E6"/>
    <w:rsid w:val="000E3A54"/>
    <w:rsid w:val="000F2DFF"/>
    <w:rsid w:val="001001D1"/>
    <w:rsid w:val="00102B34"/>
    <w:rsid w:val="00111510"/>
    <w:rsid w:val="00120DB8"/>
    <w:rsid w:val="001250F4"/>
    <w:rsid w:val="0014520F"/>
    <w:rsid w:val="00153074"/>
    <w:rsid w:val="0015393E"/>
    <w:rsid w:val="00161C70"/>
    <w:rsid w:val="001654A8"/>
    <w:rsid w:val="0019350C"/>
    <w:rsid w:val="001A4839"/>
    <w:rsid w:val="001A6579"/>
    <w:rsid w:val="001A6EF9"/>
    <w:rsid w:val="001B6850"/>
    <w:rsid w:val="001E07AB"/>
    <w:rsid w:val="00200818"/>
    <w:rsid w:val="00203B7D"/>
    <w:rsid w:val="00220FD6"/>
    <w:rsid w:val="0022147E"/>
    <w:rsid w:val="00230B49"/>
    <w:rsid w:val="002373EE"/>
    <w:rsid w:val="00242795"/>
    <w:rsid w:val="002428F2"/>
    <w:rsid w:val="00243F6E"/>
    <w:rsid w:val="002506D5"/>
    <w:rsid w:val="00253DB3"/>
    <w:rsid w:val="00253F45"/>
    <w:rsid w:val="00257244"/>
    <w:rsid w:val="002629B3"/>
    <w:rsid w:val="0026303C"/>
    <w:rsid w:val="00270896"/>
    <w:rsid w:val="00287411"/>
    <w:rsid w:val="00295B25"/>
    <w:rsid w:val="002A1410"/>
    <w:rsid w:val="002A4C08"/>
    <w:rsid w:val="002B3F4F"/>
    <w:rsid w:val="002C7EEA"/>
    <w:rsid w:val="002D51C8"/>
    <w:rsid w:val="002D75AC"/>
    <w:rsid w:val="002E5CD1"/>
    <w:rsid w:val="002E5FEB"/>
    <w:rsid w:val="002F32F6"/>
    <w:rsid w:val="003005B3"/>
    <w:rsid w:val="003210AE"/>
    <w:rsid w:val="00335406"/>
    <w:rsid w:val="00341A67"/>
    <w:rsid w:val="00343578"/>
    <w:rsid w:val="00380380"/>
    <w:rsid w:val="00386A2E"/>
    <w:rsid w:val="003A2F2D"/>
    <w:rsid w:val="003A5512"/>
    <w:rsid w:val="003A5AD4"/>
    <w:rsid w:val="003B5EAF"/>
    <w:rsid w:val="003D1989"/>
    <w:rsid w:val="003D1B1B"/>
    <w:rsid w:val="003D30B5"/>
    <w:rsid w:val="003E4E18"/>
    <w:rsid w:val="003F1677"/>
    <w:rsid w:val="003F4F62"/>
    <w:rsid w:val="003F611B"/>
    <w:rsid w:val="004402F2"/>
    <w:rsid w:val="00444A15"/>
    <w:rsid w:val="00444AE6"/>
    <w:rsid w:val="00454684"/>
    <w:rsid w:val="00471DD0"/>
    <w:rsid w:val="00475521"/>
    <w:rsid w:val="004976BA"/>
    <w:rsid w:val="004E3A23"/>
    <w:rsid w:val="004E4FB3"/>
    <w:rsid w:val="004F3671"/>
    <w:rsid w:val="004F4ADD"/>
    <w:rsid w:val="00512FA2"/>
    <w:rsid w:val="00545FF1"/>
    <w:rsid w:val="005645AE"/>
    <w:rsid w:val="005829D3"/>
    <w:rsid w:val="00583032"/>
    <w:rsid w:val="005B1AC8"/>
    <w:rsid w:val="005B672F"/>
    <w:rsid w:val="005E7824"/>
    <w:rsid w:val="005F7257"/>
    <w:rsid w:val="006071D9"/>
    <w:rsid w:val="00612772"/>
    <w:rsid w:val="00616D6E"/>
    <w:rsid w:val="006262BF"/>
    <w:rsid w:val="0062666C"/>
    <w:rsid w:val="0063259F"/>
    <w:rsid w:val="006407BE"/>
    <w:rsid w:val="006600E5"/>
    <w:rsid w:val="00671E55"/>
    <w:rsid w:val="006760BD"/>
    <w:rsid w:val="00677CA5"/>
    <w:rsid w:val="00687150"/>
    <w:rsid w:val="006953EF"/>
    <w:rsid w:val="0069793F"/>
    <w:rsid w:val="006B7BCF"/>
    <w:rsid w:val="006C206F"/>
    <w:rsid w:val="006C239A"/>
    <w:rsid w:val="006D6527"/>
    <w:rsid w:val="006E295A"/>
    <w:rsid w:val="006E2E69"/>
    <w:rsid w:val="006E7404"/>
    <w:rsid w:val="006F6889"/>
    <w:rsid w:val="007075D3"/>
    <w:rsid w:val="00721B38"/>
    <w:rsid w:val="00722D20"/>
    <w:rsid w:val="00724321"/>
    <w:rsid w:val="0073229D"/>
    <w:rsid w:val="0073361B"/>
    <w:rsid w:val="007417ED"/>
    <w:rsid w:val="00752AFA"/>
    <w:rsid w:val="0076221C"/>
    <w:rsid w:val="0077409A"/>
    <w:rsid w:val="00782668"/>
    <w:rsid w:val="00794762"/>
    <w:rsid w:val="00795A55"/>
    <w:rsid w:val="007C5279"/>
    <w:rsid w:val="007C5352"/>
    <w:rsid w:val="007E4B50"/>
    <w:rsid w:val="007E52DF"/>
    <w:rsid w:val="008128B4"/>
    <w:rsid w:val="0081343F"/>
    <w:rsid w:val="00830588"/>
    <w:rsid w:val="00832003"/>
    <w:rsid w:val="008413BE"/>
    <w:rsid w:val="0084386D"/>
    <w:rsid w:val="008450AF"/>
    <w:rsid w:val="008509EE"/>
    <w:rsid w:val="00851C1F"/>
    <w:rsid w:val="008547C1"/>
    <w:rsid w:val="00872256"/>
    <w:rsid w:val="00873FFD"/>
    <w:rsid w:val="008808E2"/>
    <w:rsid w:val="0088321E"/>
    <w:rsid w:val="00891C02"/>
    <w:rsid w:val="008A362A"/>
    <w:rsid w:val="008B2343"/>
    <w:rsid w:val="008B30A8"/>
    <w:rsid w:val="008B5D8B"/>
    <w:rsid w:val="008E0AAD"/>
    <w:rsid w:val="00930FE0"/>
    <w:rsid w:val="00947E50"/>
    <w:rsid w:val="00956990"/>
    <w:rsid w:val="0095732C"/>
    <w:rsid w:val="009608DA"/>
    <w:rsid w:val="009741DC"/>
    <w:rsid w:val="00984723"/>
    <w:rsid w:val="0098674E"/>
    <w:rsid w:val="00994D18"/>
    <w:rsid w:val="009A074A"/>
    <w:rsid w:val="009B0059"/>
    <w:rsid w:val="009C167A"/>
    <w:rsid w:val="00A115CB"/>
    <w:rsid w:val="00A205E8"/>
    <w:rsid w:val="00A24A4C"/>
    <w:rsid w:val="00A40BE2"/>
    <w:rsid w:val="00A666DD"/>
    <w:rsid w:val="00A84B63"/>
    <w:rsid w:val="00A94D51"/>
    <w:rsid w:val="00A97F63"/>
    <w:rsid w:val="00AA1F30"/>
    <w:rsid w:val="00AB1C6E"/>
    <w:rsid w:val="00AD0B5F"/>
    <w:rsid w:val="00AD0D56"/>
    <w:rsid w:val="00AD1F84"/>
    <w:rsid w:val="00AD370C"/>
    <w:rsid w:val="00AE5CD7"/>
    <w:rsid w:val="00B23D9A"/>
    <w:rsid w:val="00B24CC5"/>
    <w:rsid w:val="00B37D9A"/>
    <w:rsid w:val="00B5205E"/>
    <w:rsid w:val="00B951EF"/>
    <w:rsid w:val="00BC399B"/>
    <w:rsid w:val="00BC4A9D"/>
    <w:rsid w:val="00BF5AFF"/>
    <w:rsid w:val="00C20CF7"/>
    <w:rsid w:val="00C23375"/>
    <w:rsid w:val="00C40D12"/>
    <w:rsid w:val="00C44C96"/>
    <w:rsid w:val="00C50AB0"/>
    <w:rsid w:val="00C56416"/>
    <w:rsid w:val="00C6296E"/>
    <w:rsid w:val="00C6301D"/>
    <w:rsid w:val="00C63110"/>
    <w:rsid w:val="00C7691F"/>
    <w:rsid w:val="00C7717D"/>
    <w:rsid w:val="00C80314"/>
    <w:rsid w:val="00C83F9B"/>
    <w:rsid w:val="00CA3953"/>
    <w:rsid w:val="00CB1972"/>
    <w:rsid w:val="00CF10C8"/>
    <w:rsid w:val="00D02CA7"/>
    <w:rsid w:val="00D16387"/>
    <w:rsid w:val="00D16A4F"/>
    <w:rsid w:val="00D17C5C"/>
    <w:rsid w:val="00D611AE"/>
    <w:rsid w:val="00D61C51"/>
    <w:rsid w:val="00D67A0B"/>
    <w:rsid w:val="00D75609"/>
    <w:rsid w:val="00D773CC"/>
    <w:rsid w:val="00DE0644"/>
    <w:rsid w:val="00DE6F20"/>
    <w:rsid w:val="00E014FD"/>
    <w:rsid w:val="00E063FD"/>
    <w:rsid w:val="00E2097E"/>
    <w:rsid w:val="00E368A5"/>
    <w:rsid w:val="00E523C8"/>
    <w:rsid w:val="00E67A41"/>
    <w:rsid w:val="00E83395"/>
    <w:rsid w:val="00EA0595"/>
    <w:rsid w:val="00EA3914"/>
    <w:rsid w:val="00EB3555"/>
    <w:rsid w:val="00EB6A76"/>
    <w:rsid w:val="00EC0146"/>
    <w:rsid w:val="00EC37F8"/>
    <w:rsid w:val="00EC7460"/>
    <w:rsid w:val="00F10FAA"/>
    <w:rsid w:val="00F15BFA"/>
    <w:rsid w:val="00F4276F"/>
    <w:rsid w:val="00F4481C"/>
    <w:rsid w:val="00F45543"/>
    <w:rsid w:val="00F4701E"/>
    <w:rsid w:val="00F51523"/>
    <w:rsid w:val="00F92C21"/>
    <w:rsid w:val="00F97905"/>
    <w:rsid w:val="00FA5971"/>
    <w:rsid w:val="00FD132F"/>
    <w:rsid w:val="00FE1CA7"/>
    <w:rsid w:val="00FF0E0E"/>
    <w:rsid w:val="00FF596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paragraph" w:styleId="Header">
    <w:name w:val="header"/>
    <w:basedOn w:val="Normal"/>
    <w:link w:val="HeaderChar"/>
    <w:uiPriority w:val="99"/>
    <w:unhideWhenUsed/>
    <w:rsid w:val="000B36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6E6"/>
  </w:style>
  <w:style w:type="paragraph" w:styleId="Footer">
    <w:name w:val="footer"/>
    <w:basedOn w:val="Normal"/>
    <w:link w:val="FooterChar"/>
    <w:uiPriority w:val="99"/>
    <w:unhideWhenUsed/>
    <w:rsid w:val="000B36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6E6"/>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7417ED"/>
    <w:pPr>
      <w:spacing w:after="0" w:line="240" w:lineRule="auto"/>
    </w:pPr>
    <w:rPr>
      <w:sz w:val="20"/>
      <w:szCs w:val="20"/>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417ED"/>
    <w:rPr>
      <w:sz w:val="20"/>
      <w:szCs w:val="20"/>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417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E3A54"/>
    <w:pPr>
      <w:spacing w:before="11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59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618</Words>
  <Characters>3525</Characters>
  <Application>Microsoft Office Word</Application>
  <DocSecurity>0</DocSecurity>
  <Lines>29</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Valentin Rosca</cp:lastModifiedBy>
  <cp:revision>7</cp:revision>
  <dcterms:created xsi:type="dcterms:W3CDTF">2024-01-05T09:50:00Z</dcterms:created>
  <dcterms:modified xsi:type="dcterms:W3CDTF">2024-05-23T21:07:00Z</dcterms:modified>
</cp:coreProperties>
</file>